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SiTime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Ryo Asakura</w:t>
              <w:br/>
              <w:t>Renesas Electronics Corporation, 3-2-24 Toyosu, Koto-Ku</w:t>
              <w:br/>
              <w:t>Tokyo, M0, 135-0061</w:t>
              <w:br/>
              <w:t>81-3-6773-3000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Renesas Electronics America Inc.</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3,558,691.00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3,558,691.00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3,558,691.00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Renesas Electronics Corporation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3,558,691.00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3,558,691.00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3,558,691.00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Item 1.</w:t>
            </w:r>
          </w:p>
        </w:tc>
        <w:tc>
          <w:tcPr>
            <w:tcW w:w="9031" w:type="dxa"/>
            <w:tcBorders/>
            <w:vAlign w:val="center"/>
          </w:tcPr>
          <w:p>
            <w:pPr>
              <w:pStyle w:val="TableContents"/>
              <w:bidi w:val="0"/>
              <w:spacing w:before="0" w:after="283"/>
              <w:jc w:val="left"/>
              <w:rPr/>
            </w:pPr>
            <w:r>
              <w:rPr/>
              <w:t>Security and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jc w:val="left"/>
              <w:rPr/>
            </w:pPr>
            <w:r>
              <w:rPr/>
              <w:t xml:space="preserve">Name of Issuer: </w:t>
            </w:r>
          </w:p>
          <w:p>
            <w:pPr>
              <w:pStyle w:val="TableContents"/>
              <w:bidi w:val="0"/>
              <w:spacing w:before="0" w:after="0"/>
              <w:jc w:val="left"/>
              <w:rPr/>
            </w:pPr>
            <w:r>
              <w:rPr/>
              <w:t>SiTime Corporation</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5451 Patrick Henry Drive, Santa Clara, CALIFORNIA , 95054.</w:t>
            </w:r>
          </w:p>
        </w:tc>
      </w:tr>
      <w:tr>
        <w:trPr/>
        <w:tc>
          <w:tcPr>
            <w:tcW w:w="1174" w:type="dxa"/>
            <w:tcBorders/>
            <w:vAlign w:val="center"/>
          </w:tcPr>
          <w:p>
            <w:pPr>
              <w:pStyle w:val="TableContents"/>
              <w:bidi w:val="0"/>
              <w:spacing w:before="0" w:after="283"/>
              <w:jc w:val="left"/>
              <w:rPr/>
            </w:pPr>
            <w:r>
              <w:rPr/>
              <w:t>Item 2.</w:t>
            </w:r>
          </w:p>
        </w:tc>
        <w:tc>
          <w:tcPr>
            <w:tcW w:w="9031" w:type="dxa"/>
            <w:tcBorders/>
            <w:vAlign w:val="center"/>
          </w:tcPr>
          <w:p>
            <w:pPr>
              <w:pStyle w:val="TableContents"/>
              <w:bidi w:val="0"/>
              <w:spacing w:before="0" w:after="283"/>
              <w:jc w:val="left"/>
              <w:rPr/>
            </w:pPr>
            <w:r>
              <w:rPr/>
              <w:t>Identity and Background</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This Schedule 13D is being filed by Renesas Electronics America Inc., a California corporation ("Renesas America"), and Renesas Electronics Corporation, a corporation incorporated in Japan (together, the "Reporting Persons"). Renesas America is a wholly owned subsidiary of Renesas Electronics Corporation. The Reporting Persons are filing this Schedule 13D jointly, and the agreement between the Reporting Persons to file jointly is attached hereto as Exhibit 99.1 and is incorporated herein by reference.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principal business address of Renesas Electronics America Inc. is 6024 Silver Creek Valley Road, San Jose, CA 95138. The principal business address of Renesas Electronics Corporation is c/o Renesas Electronics America Inc., 6024 Silver Creek Valley Road, San Jose, CA 95138.</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The principal business of the Reporting Persons is researching, developing, designing, manufacturing, selling, and servicing semiconductor products. The name, business address, present principal occupation or employment, and citizenship of each of the directors and executive officers of the Reporting Persons is set forth in Schedule A attached hereto as Exhibit 99.2 and is incorporated herein by reference.</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During the last five years, none of the Reporting Persons nor, to the knowledge of the Reporting Persons, any of the persons listed in Schedule A attached hereto as Exhibit 99.2 have been convicted in a criminal proceeding (excluding traffic violations or similar misdemeanors).</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During the last five years, none of the Reporting Persons nor, to the knowledge of the Reporting Persons, any of the persons listed in Schedule A attached hereto as Exhibit 99.2 have been a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tc>
      </w:tr>
      <w:tr>
        <w:trPr/>
        <w:tc>
          <w:tcPr>
            <w:tcW w:w="1174" w:type="dxa"/>
            <w:tcBorders/>
            <w:vAlign w:val="center"/>
          </w:tcPr>
          <w:p>
            <w:pPr>
              <w:pStyle w:val="TableContents"/>
              <w:bidi w:val="0"/>
              <w:spacing w:before="0" w:after="283"/>
              <w:jc w:val="left"/>
              <w:rPr/>
            </w:pPr>
            <w:r>
              <w:rPr/>
              <w:t>(f)</w:t>
            </w:r>
          </w:p>
        </w:tc>
        <w:tc>
          <w:tcPr>
            <w:tcW w:w="9031" w:type="dxa"/>
            <w:tcBorders/>
            <w:vAlign w:val="center"/>
          </w:tcPr>
          <w:p>
            <w:pPr>
              <w:pStyle w:val="TableContents"/>
              <w:bidi w:val="0"/>
              <w:spacing w:before="0" w:after="0"/>
              <w:jc w:val="left"/>
              <w:rPr/>
            </w:pPr>
            <w:r>
              <w:rPr/>
              <w:t>The response to Item 2(a) of this Schedule 13D is incorporated herein by reference.</w:t>
            </w:r>
          </w:p>
        </w:tc>
      </w:tr>
      <w:tr>
        <w:trPr/>
        <w:tc>
          <w:tcPr>
            <w:tcW w:w="1174" w:type="dxa"/>
            <w:tcBorders/>
            <w:vAlign w:val="center"/>
          </w:tcPr>
          <w:p>
            <w:pPr>
              <w:pStyle w:val="TableContents"/>
              <w:bidi w:val="0"/>
              <w:spacing w:before="0" w:after="283"/>
              <w:jc w:val="left"/>
              <w:rPr/>
            </w:pPr>
            <w:r>
              <w:rPr/>
              <w:t>Item 3.</w:t>
            </w:r>
          </w:p>
        </w:tc>
        <w:tc>
          <w:tcPr>
            <w:tcW w:w="9031" w:type="dxa"/>
            <w:tcBorders/>
            <w:vAlign w:val="center"/>
          </w:tcPr>
          <w:p>
            <w:pPr>
              <w:pStyle w:val="TableContents"/>
              <w:bidi w:val="0"/>
              <w:spacing w:before="0" w:after="283"/>
              <w:jc w:val="left"/>
              <w:rPr/>
            </w:pPr>
            <w:r>
              <w:rPr/>
              <w:t>Source and Amount of Funds or Other Consideration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On February 4, 2026, SiTime Corporation, a Delaware corporation ("SiTime" or the "Issuer"), entered into an Asset Purchase Agreement (the "Asset Purchase Agreement") with Renesas America, pursuant to which Renesas America agreed to, and agreed to cause certain of its affiliates to, sell, transfer, assign, and convey to SiTime all of their right, title, and interest in, to, and under certain assets related to the timing business of Renesas Electronics Corporation (the "Acquisition"). On July 1, 2026 (the "Closing Date"), SiTime and Renesas America completed the Acquisition in accordance with the Asset Purchase Agreement for an aggregate purchase price of approximately $1,500,000,000 in cash and 3,558,691 shares of common stock, $0.0001 par value per share, of SiTime ("Shares"), subject to certain adjustments as set forth in the Asset Purchase Agreement. The foregoing description of the Asset Purchase Agreement does not purport to be complete and is qualified in its entirety by reference to the full text of the Asset Purchase Agreement, a copy of which is attached as Exhibit 99.3 to this Schedule 13D and is incorporated herein by reference.</w:t>
            </w:r>
          </w:p>
        </w:tc>
      </w:tr>
      <w:tr>
        <w:trPr/>
        <w:tc>
          <w:tcPr>
            <w:tcW w:w="1174" w:type="dxa"/>
            <w:tcBorders/>
            <w:vAlign w:val="center"/>
          </w:tcPr>
          <w:p>
            <w:pPr>
              <w:pStyle w:val="TableContents"/>
              <w:bidi w:val="0"/>
              <w:spacing w:before="0" w:after="283"/>
              <w:jc w:val="left"/>
              <w:rPr/>
            </w:pPr>
            <w:r>
              <w:rPr/>
              <w:t>Item 4.</w:t>
            </w:r>
          </w:p>
        </w:tc>
        <w:tc>
          <w:tcPr>
            <w:tcW w:w="9031" w:type="dxa"/>
            <w:tcBorders/>
            <w:vAlign w:val="center"/>
          </w:tcPr>
          <w:p>
            <w:pPr>
              <w:pStyle w:val="TableContents"/>
              <w:bidi w:val="0"/>
              <w:spacing w:before="0" w:after="283"/>
              <w:jc w:val="left"/>
              <w:rPr/>
            </w:pPr>
            <w:r>
              <w:rPr/>
              <w:t>Purpose of Transaction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responses to Item 3 and Item 6 of this Schedule 13D are incorporated herein by reference. The Reporting Persons acquired the securities reported herein for investment purposes. The Reporting Persons, either directly or indirectly through the Renesas CEO Director (defined in Item 6 below), may engage in discussions from time to time with the Issuer's board of directors (the "Board"), the Issuer's management, the Issuer's other stockholders, advisors, and/or other persons regarding the Issuer, including but not limited to its operations, governance, and control. The Reporting Persons expect to review from time to time their investment in the Issuer and may, depending on the market and other conditions and subject to applicable law, (i) acquire beneficial ownership of additional Shares in the open market, in privately negotiated transactions, or otherwise, (ii) dispose of all or a part of their holdings of securities of the Issuer, or (iii) take other actions which could involve one or more of the types of transactions or have one or more of the results described in paragraphs (a) through (j), inclusive, of the instructions to Item 4 of Schedule 13D. Except as set forth herein, the Reporting Persons do not have any plans or proposals which relate to, or could result in, any of the matters referred to in paragraphs (a) through (j), inclusive, of the instructions to Item 4 of Schedule 13D. The Reporting Persons may, at any time and from time to time, review or reconsider their position and/or change their purpose and/or formulate plans or proposals with respect thereto.</w:t>
            </w:r>
          </w:p>
        </w:tc>
      </w:tr>
      <w:tr>
        <w:trPr/>
        <w:tc>
          <w:tcPr>
            <w:tcW w:w="1174" w:type="dxa"/>
            <w:tcBorders/>
            <w:vAlign w:val="center"/>
          </w:tcPr>
          <w:p>
            <w:pPr>
              <w:pStyle w:val="TableContents"/>
              <w:bidi w:val="0"/>
              <w:spacing w:before="0" w:after="283"/>
              <w:jc w:val="left"/>
              <w:rPr/>
            </w:pPr>
            <w:r>
              <w:rPr/>
              <w:t>Item 5.</w:t>
            </w:r>
          </w:p>
        </w:tc>
        <w:tc>
          <w:tcPr>
            <w:tcW w:w="9031" w:type="dxa"/>
            <w:tcBorders/>
            <w:vAlign w:val="center"/>
          </w:tcPr>
          <w:p>
            <w:pPr>
              <w:pStyle w:val="TableContents"/>
              <w:bidi w:val="0"/>
              <w:spacing w:before="0" w:after="283"/>
              <w:jc w:val="left"/>
              <w:rPr/>
            </w:pPr>
            <w:r>
              <w:rPr/>
              <w:t>Interest in Securities of the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As of the date hereof, the Reporting Persons may be deemed to beneficially own 3,558,691 Shares, or approximately 11.9% of the Shares outstanding. The beneficial ownership percentage reported herein is based on the sum of (i) 26,396,828 Shares outstanding as of May 1, 2026, as reported in the Issuer's quarterly report on Form 10-Q filed with the Securities and Exchange Commission (the "SEC") on May 7, 2026, and (ii) 3,558,691 Shares (the "Acquired Shares") that were issued to Renesas America on July 1, 2026.</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information contained in rows 7 through 10, inclusive, of each of the cover pages hereto is hereby incorporated herein by reference.</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The response to Item 3 of this Schedule 13D is incorporated herein by reference. Except as set forth in this Schedule 13D, the Reporting Persons have not engaged in any transactions with respect to the Shares during the 60 days prior to the date of filing of this Schedule 13D.</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Not applicable.</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Not applicable.</w:t>
            </w:r>
          </w:p>
        </w:tc>
      </w:tr>
      <w:tr>
        <w:trPr/>
        <w:tc>
          <w:tcPr>
            <w:tcW w:w="1174" w:type="dxa"/>
            <w:tcBorders/>
            <w:vAlign w:val="center"/>
          </w:tcPr>
          <w:p>
            <w:pPr>
              <w:pStyle w:val="TableContents"/>
              <w:bidi w:val="0"/>
              <w:spacing w:before="0" w:after="283"/>
              <w:jc w:val="left"/>
              <w:rPr/>
            </w:pPr>
            <w:r>
              <w:rPr/>
              <w:t>Item 6.</w:t>
            </w:r>
          </w:p>
        </w:tc>
        <w:tc>
          <w:tcPr>
            <w:tcW w:w="903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responses to Item 3 and Item 4 of this Schedule 13D are incorporated herein by reference. In connection with the Asset Purchase Agreement, Renesas America and the Issuer entered into a Registration Rights Agreement, dated as of July 1, 2026 (the "Registration Rights Agreement"). Pursuant to the Registration Rights Agreement, the Issuer agreed to file a registration statement (or a prospectus supplement to an effective shelf registration statement) (each, a "Registration Statement") with the SEC as promptly as reasonably practicable following the written request of Renesas America for purposes of registering the resale of the Acquired Shares, and to keep such Registration Statement effective until the date that all Acquired Shares covered by such Registration Statement (i) have been resold or (ii) may be resold without regard to any volume or manner-of-sale limitations by reason of Rule 144 under the Securities Act of 1933, as amended (the "Securities Act"). The Registration Rights Agreement also entitles Renesas America to require the Issuer to effect underwritten offerings of the Acquired Shares from time to time, subject to a limit of three (3) underwritten offerings during any 18-month period. The Registration Statement shall be automatically effective upon filing, if permitted under the Securities Act; otherwise, the Issuer shall use its commercially reasonable efforts to have such Registration Statement declared effective as soon as practicable after the filing thereof, but no later than the earlier of (i) the seventy-fifth (75th) calendar day following the filing date thereof if the SEC notifies the Issuer that it will "review" such Registration Statement and (ii) the fifth (5th) business day after the date the Issuer is notified (orally or in writing, whichever is earlier) by the SEC that such Registration Statement will not be "reviewed" or will not be subject to further review. Also pursuant to the Registration Rights Agreement, Renesas America agreed that for a period of six (6) months following the Closing Date, Renesas America (a) may not transfer any Shares without first providing the Issuer at least fifteen (15) days' prior written notice and (b) may not transfer, in any single transaction or in any rolling forty-five (45) day period, more than thirty-three percent (33%) of the total number of Acquired Shares. The Registration Rights Agreement further provides that, upon or as promptly as practicable following the Issuer's receipt of the Appointment Notice (as defined in the Registration Rights Agreement), Hidetoshi Shibata, the current Chief Executive Officer of Renesas Electronics Corporation, shall be appointed by the Board to serve as a Class I director of the Board (in such capacity, the "Renesas CEO Director") until the next annual meeting of stockholders of the Issuer after the Closing Date at which the Class I directors of the Board are elected. Unless waived by the Renesas CEO Director, the Renesas CEO Director will be entitled to cash and equity compensation in the same manner and to the same extent as other non-employee directors of the Board. The foregoing description of the Registration Rights Agreement does not purport to be complete and is qualified in its entirety by reference to the full text of the Registration Rights Agreement, a copy of which is attached as Exhibit 99.4 to this Schedule 13D and is incorporated herein by reference. Except as otherwise set forth in this Schedule 13D, there are no contracts, arrangements, understandings, or relationships between the Reporting Persons and any other person with respect to any securities of the Issuer.</w:t>
            </w:r>
          </w:p>
        </w:tc>
      </w:tr>
      <w:tr>
        <w:trPr/>
        <w:tc>
          <w:tcPr>
            <w:tcW w:w="1174" w:type="dxa"/>
            <w:tcBorders/>
            <w:vAlign w:val="center"/>
          </w:tcPr>
          <w:p>
            <w:pPr>
              <w:pStyle w:val="TableContents"/>
              <w:bidi w:val="0"/>
              <w:spacing w:before="0" w:after="283"/>
              <w:jc w:val="left"/>
              <w:rPr/>
            </w:pPr>
            <w:r>
              <w:rPr/>
              <w:t>Item 7.</w:t>
            </w:r>
          </w:p>
        </w:tc>
        <w:tc>
          <w:tcPr>
            <w:tcW w:w="9031" w:type="dxa"/>
            <w:tcBorders/>
            <w:vAlign w:val="center"/>
          </w:tcPr>
          <w:p>
            <w:pPr>
              <w:pStyle w:val="TableContents"/>
              <w:bidi w:val="0"/>
              <w:spacing w:before="0" w:after="283"/>
              <w:jc w:val="left"/>
              <w:rPr/>
            </w:pPr>
            <w:r>
              <w:rPr/>
              <w:t>Material to be Filed as Exhibits.</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Exhibit 99.1 - Joint Filing Statement, dated July 9, 2026. Exhibit 99.2 - Schedule A, dated as of July 9, 2026. Exhibit 99.3 - Asset Purchase Agreement, dated as of February 4, 2026 (incorporated by reference to Exhibit 2.1 to the Issuer's current report on Form 8-K filed with the SEC on February 4, 2026). Exhibit 99.4 - Registration Rights Agreement, dated as of July 1, 2026 (incorporated by reference to Exhibit 10.2 to the Issuer's current report on Form 8-K filed with the SEC on July 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Renesas Electronics America Inc.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Ryo Asakura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Ryo Asakura, 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Renesas Electronics Corporation</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Ryo Asakura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Ryo Asakura, General Counsel</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bookmarkStart w:id="18" w:name="jointfilingstatement.htm"/>
      <w:bookmarkStart w:id="19" w:name="ksjointfilingstatement"/>
      <w:bookmarkEnd w:id="18"/>
      <w:bookmarkEnd w:id="19"/>
      <w:r>
        <w:rPr>
          <w:b/>
          <w:color w:val="000000"/>
          <w:sz w:val="20"/>
        </w:rPr>
        <w:t>Exhibit 99.1</w:t>
      </w:r>
      <w:r>
        <w:rPr/>
        <w:t xml:space="preserve"> </w:t>
      </w:r>
      <w:r>
        <w:br w:type="page"/>
      </w:r>
    </w:p>
    <w:p>
      <w:pPr>
        <w:pStyle w:val="TextBody"/>
        <w:bidi w:val="0"/>
        <w:spacing w:before="0" w:after="0"/>
        <w:jc w:val="center"/>
        <w:rPr/>
      </w:pPr>
      <w:r>
        <w:rPr>
          <w:color w:val="000000"/>
        </w:rPr>
        <w:t> </w:t>
      </w:r>
      <w:r>
        <w:rPr/>
        <w:t xml:space="preserve"> </w:t>
      </w:r>
    </w:p>
    <w:p>
      <w:pPr>
        <w:pStyle w:val="TextBody"/>
        <w:bidi w:val="0"/>
        <w:spacing w:before="0" w:after="0"/>
        <w:jc w:val="center"/>
        <w:rPr/>
      </w:pPr>
      <w:r>
        <w:rPr>
          <w:color w:val="000000"/>
          <w:sz w:val="22"/>
        </w:rPr>
        <w:t>JOINT FILING STATEMENT</w:t>
      </w:r>
      <w:r>
        <w:rPr/>
        <w:t xml:space="preserve"> </w:t>
      </w:r>
    </w:p>
    <w:p>
      <w:pPr>
        <w:pStyle w:val="TextBody"/>
        <w:bidi w:val="0"/>
        <w:spacing w:before="0" w:after="0"/>
        <w:jc w:val="center"/>
        <w:rPr/>
      </w:pPr>
      <w:r>
        <w:rPr>
          <w:color w:val="000000"/>
        </w:rPr>
        <w:t> </w:t>
      </w:r>
      <w:r>
        <w:rPr/>
        <w:t xml:space="preserve"> </w:t>
      </w:r>
    </w:p>
    <w:p>
      <w:pPr>
        <w:pStyle w:val="TextBody"/>
        <w:bidi w:val="0"/>
        <w:spacing w:before="0" w:after="0"/>
        <w:jc w:val="center"/>
        <w:rPr/>
      </w:pPr>
      <w:r>
        <w:rPr>
          <w:color w:val="000000"/>
          <w:sz w:val="22"/>
        </w:rPr>
        <w:t>PURSUANT TO RULE 13d-1(k)</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sz w:val="22"/>
        </w:rPr>
        <w:t>The undersigned acknowledge and agree that the foregoing statement on Schedule 13D is filed on behalf of each of the undersigned, and that all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r>
        <w:rPr/>
        <w:t xml:space="preserve"> </w:t>
      </w:r>
    </w:p>
    <w:p>
      <w:pPr>
        <w:pStyle w:val="TextBody"/>
        <w:bidi w:val="0"/>
        <w:spacing w:before="0" w:after="0"/>
        <w:jc w:val="left"/>
        <w:rPr/>
      </w:pPr>
      <w:r>
        <w:rPr>
          <w:color w:val="000000"/>
        </w:rPr>
        <w:t> </w:t>
      </w:r>
      <w:r>
        <w:rPr/>
        <w:t xml:space="preserve"> </w:t>
      </w:r>
    </w:p>
    <w:tbl>
      <w:tblPr>
        <w:tblW w:w="4288" w:type="dxa"/>
        <w:jc w:val="left"/>
        <w:tblInd w:w="0" w:type="dxa"/>
        <w:tblLayout w:type="fixed"/>
        <w:tblCellMar>
          <w:top w:w="28" w:type="dxa"/>
          <w:left w:w="28" w:type="dxa"/>
          <w:bottom w:w="28" w:type="dxa"/>
          <w:right w:w="28" w:type="dxa"/>
        </w:tblCellMar>
      </w:tblPr>
      <w:tblGrid>
        <w:gridCol w:w="511"/>
        <w:gridCol w:w="3526"/>
        <w:gridCol w:w="251"/>
      </w:tblGrid>
      <w:tr>
        <w:trPr/>
        <w:tc>
          <w:tcPr>
            <w:tcW w:w="51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037" w:type="dxa"/>
            <w:gridSpan w:val="2"/>
            <w:tcBorders/>
            <w:vAlign w:val="center"/>
          </w:tcPr>
          <w:p>
            <w:pPr>
              <w:pStyle w:val="TableContents"/>
              <w:bidi w:val="0"/>
              <w:spacing w:before="0" w:after="0"/>
              <w:jc w:val="left"/>
              <w:rPr/>
            </w:pPr>
            <w:r>
              <w:rPr>
                <w:sz w:val="22"/>
              </w:rPr>
              <w:t>Dated: July 9, 2026</w:t>
            </w:r>
            <w:r>
              <w:rPr/>
              <w:t xml:space="preserve"> </w:t>
            </w:r>
          </w:p>
        </w:tc>
        <w:tc>
          <w:tcPr>
            <w:tcW w:w="251" w:type="dxa"/>
            <w:tcBorders/>
            <w:vAlign w:val="center"/>
          </w:tcPr>
          <w:p>
            <w:pPr>
              <w:pStyle w:val="TableContents"/>
              <w:bidi w:val="0"/>
              <w:spacing w:before="0" w:after="0"/>
              <w:jc w:val="left"/>
              <w:rPr/>
            </w:pPr>
            <w:r>
              <w:rPr/>
              <w:t xml:space="preserve">  </w:t>
            </w:r>
          </w:p>
        </w:tc>
      </w:tr>
      <w:tr>
        <w:trPr/>
        <w:tc>
          <w:tcPr>
            <w:tcW w:w="511" w:type="dxa"/>
            <w:tcBorders/>
            <w:vAlign w:val="center"/>
          </w:tcPr>
          <w:p>
            <w:pPr>
              <w:pStyle w:val="TableContents"/>
              <w:bidi w:val="0"/>
              <w:spacing w:before="0" w:after="0"/>
              <w:jc w:val="left"/>
              <w:rPr/>
            </w:pPr>
            <w:r>
              <w:rPr/>
              <w:t xml:space="preserve">  </w:t>
            </w:r>
          </w:p>
        </w:tc>
        <w:tc>
          <w:tcPr>
            <w:tcW w:w="3526" w:type="dxa"/>
            <w:tcBorders/>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r>
        <w:trPr/>
        <w:tc>
          <w:tcPr>
            <w:tcW w:w="4037" w:type="dxa"/>
            <w:gridSpan w:val="2"/>
            <w:tcBorders/>
            <w:vAlign w:val="center"/>
          </w:tcPr>
          <w:p>
            <w:pPr>
              <w:pStyle w:val="TableContents"/>
              <w:bidi w:val="0"/>
              <w:spacing w:before="0" w:after="0"/>
              <w:jc w:val="left"/>
              <w:rPr/>
            </w:pPr>
            <w:r>
              <w:rPr>
                <w:sz w:val="22"/>
              </w:rPr>
              <w:t>Renesas Electronics America Inc.</w:t>
            </w:r>
            <w:r>
              <w:rPr/>
              <w:t xml:space="preserve"> </w:t>
            </w:r>
          </w:p>
        </w:tc>
        <w:tc>
          <w:tcPr>
            <w:tcW w:w="251" w:type="dxa"/>
            <w:tcBorders/>
            <w:vAlign w:val="center"/>
          </w:tcPr>
          <w:p>
            <w:pPr>
              <w:pStyle w:val="TableContents"/>
              <w:bidi w:val="0"/>
              <w:spacing w:before="0" w:after="0"/>
              <w:jc w:val="left"/>
              <w:rPr/>
            </w:pPr>
            <w:r>
              <w:rPr/>
              <w:t xml:space="preserve">  </w:t>
            </w:r>
          </w:p>
        </w:tc>
      </w:tr>
      <w:tr>
        <w:trPr/>
        <w:tc>
          <w:tcPr>
            <w:tcW w:w="511" w:type="dxa"/>
            <w:tcBorders/>
            <w:vAlign w:val="center"/>
          </w:tcPr>
          <w:p>
            <w:pPr>
              <w:pStyle w:val="TableContents"/>
              <w:bidi w:val="0"/>
              <w:spacing w:before="0" w:after="0"/>
              <w:jc w:val="left"/>
              <w:rPr/>
            </w:pPr>
            <w:r>
              <w:rPr/>
              <w:t xml:space="preserve">  </w:t>
            </w:r>
          </w:p>
        </w:tc>
        <w:tc>
          <w:tcPr>
            <w:tcW w:w="3526" w:type="dxa"/>
            <w:tcBorders/>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r>
        <w:trPr/>
        <w:tc>
          <w:tcPr>
            <w:tcW w:w="511" w:type="dxa"/>
            <w:tcBorders/>
            <w:vAlign w:val="center"/>
          </w:tcPr>
          <w:p>
            <w:pPr>
              <w:pStyle w:val="TableContents"/>
              <w:bidi w:val="0"/>
              <w:spacing w:before="0" w:after="0"/>
              <w:jc w:val="left"/>
              <w:rPr/>
            </w:pPr>
            <w:r>
              <w:rPr>
                <w:sz w:val="22"/>
              </w:rPr>
              <w:t>By:</w:t>
            </w:r>
            <w:r>
              <w:rPr/>
              <w:t xml:space="preserve"> </w:t>
            </w:r>
          </w:p>
        </w:tc>
        <w:tc>
          <w:tcPr>
            <w:tcW w:w="3526" w:type="dxa"/>
            <w:tcBorders>
              <w:bottom w:val="single" w:sz="12" w:space="0" w:color="000000"/>
            </w:tcBorders>
            <w:tcMar>
              <w:top w:w="0" w:type="dxa"/>
              <w:left w:w="0" w:type="dxa"/>
              <w:right w:w="0" w:type="dxa"/>
            </w:tcMar>
            <w:vAlign w:val="center"/>
          </w:tcPr>
          <w:p>
            <w:pPr>
              <w:pStyle w:val="TableContents"/>
              <w:bidi w:val="0"/>
              <w:spacing w:before="0" w:after="0"/>
              <w:jc w:val="left"/>
              <w:rPr/>
            </w:pPr>
            <w:r>
              <w:rPr>
                <w:sz w:val="22"/>
              </w:rPr>
              <w:t>/s/ Ryo Asakura</w:t>
            </w:r>
            <w:r>
              <w:rPr/>
              <w:t xml:space="preserve"> </w:t>
            </w:r>
          </w:p>
        </w:tc>
        <w:tc>
          <w:tcPr>
            <w:tcW w:w="251" w:type="dxa"/>
            <w:tcBorders/>
            <w:vAlign w:val="center"/>
          </w:tcPr>
          <w:p>
            <w:pPr>
              <w:pStyle w:val="TableContents"/>
              <w:bidi w:val="0"/>
              <w:spacing w:before="0" w:after="0"/>
              <w:jc w:val="left"/>
              <w:rPr/>
            </w:pPr>
            <w:r>
              <w:rPr/>
              <w:t xml:space="preserve">  </w:t>
            </w:r>
          </w:p>
        </w:tc>
      </w:tr>
      <w:tr>
        <w:trPr/>
        <w:tc>
          <w:tcPr>
            <w:tcW w:w="511" w:type="dxa"/>
            <w:tcBorders/>
            <w:vAlign w:val="center"/>
          </w:tcPr>
          <w:p>
            <w:pPr>
              <w:pStyle w:val="TableContents"/>
              <w:bidi w:val="0"/>
              <w:spacing w:before="0" w:after="0"/>
              <w:jc w:val="left"/>
              <w:rPr/>
            </w:pPr>
            <w:r>
              <w:rPr/>
              <w:t xml:space="preserve">  </w:t>
            </w:r>
          </w:p>
        </w:tc>
        <w:tc>
          <w:tcPr>
            <w:tcW w:w="3526" w:type="dxa"/>
            <w:tcBorders/>
            <w:vAlign w:val="center"/>
          </w:tcPr>
          <w:p>
            <w:pPr>
              <w:pStyle w:val="TableContents"/>
              <w:bidi w:val="0"/>
              <w:spacing w:before="0" w:after="0"/>
              <w:jc w:val="left"/>
              <w:rPr/>
            </w:pPr>
            <w:r>
              <w:rPr>
                <w:sz w:val="22"/>
              </w:rPr>
              <w:t>Ryo Asakura, Authorized Signatory</w:t>
            </w:r>
            <w:r>
              <w:rPr/>
              <w:t xml:space="preserve"> </w:t>
            </w:r>
          </w:p>
        </w:tc>
        <w:tc>
          <w:tcPr>
            <w:tcW w:w="251" w:type="dxa"/>
            <w:tcBorders/>
            <w:vAlign w:val="center"/>
          </w:tcPr>
          <w:p>
            <w:pPr>
              <w:pStyle w:val="TableContents"/>
              <w:bidi w:val="0"/>
              <w:spacing w:before="0" w:after="0"/>
              <w:jc w:val="left"/>
              <w:rPr/>
            </w:pPr>
            <w:r>
              <w:rPr/>
              <w:t xml:space="preserve">  </w:t>
            </w:r>
          </w:p>
        </w:tc>
      </w:tr>
      <w:tr>
        <w:trPr/>
        <w:tc>
          <w:tcPr>
            <w:tcW w:w="511" w:type="dxa"/>
            <w:tcBorders/>
            <w:vAlign w:val="center"/>
          </w:tcPr>
          <w:p>
            <w:pPr>
              <w:pStyle w:val="TableContents"/>
              <w:bidi w:val="0"/>
              <w:spacing w:before="0" w:after="0"/>
              <w:jc w:val="left"/>
              <w:rPr/>
            </w:pPr>
            <w:r>
              <w:rPr/>
              <w:t xml:space="preserve">  </w:t>
            </w:r>
          </w:p>
        </w:tc>
        <w:tc>
          <w:tcPr>
            <w:tcW w:w="3526" w:type="dxa"/>
            <w:tcBorders/>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r>
        <w:trPr/>
        <w:tc>
          <w:tcPr>
            <w:tcW w:w="4037" w:type="dxa"/>
            <w:gridSpan w:val="2"/>
            <w:tcBorders/>
            <w:vAlign w:val="center"/>
          </w:tcPr>
          <w:p>
            <w:pPr>
              <w:pStyle w:val="TableContents"/>
              <w:bidi w:val="0"/>
              <w:spacing w:before="0" w:after="0"/>
              <w:jc w:val="left"/>
              <w:rPr/>
            </w:pPr>
            <w:r>
              <w:rPr>
                <w:sz w:val="22"/>
              </w:rPr>
              <w:t>Renesas Electronics Corporation</w:t>
            </w:r>
            <w:r>
              <w:rPr/>
              <w:t xml:space="preserve"> </w:t>
            </w:r>
          </w:p>
        </w:tc>
        <w:tc>
          <w:tcPr>
            <w:tcW w:w="251" w:type="dxa"/>
            <w:tcBorders/>
            <w:vAlign w:val="center"/>
          </w:tcPr>
          <w:p>
            <w:pPr>
              <w:pStyle w:val="TableContents"/>
              <w:bidi w:val="0"/>
              <w:spacing w:before="0" w:after="0"/>
              <w:jc w:val="left"/>
              <w:rPr/>
            </w:pPr>
            <w:r>
              <w:rPr/>
              <w:t xml:space="preserve">  </w:t>
            </w:r>
          </w:p>
        </w:tc>
      </w:tr>
      <w:tr>
        <w:trPr/>
        <w:tc>
          <w:tcPr>
            <w:tcW w:w="511" w:type="dxa"/>
            <w:tcBorders/>
            <w:vAlign w:val="center"/>
          </w:tcPr>
          <w:p>
            <w:pPr>
              <w:pStyle w:val="TableContents"/>
              <w:bidi w:val="0"/>
              <w:spacing w:before="0" w:after="0"/>
              <w:jc w:val="left"/>
              <w:rPr/>
            </w:pPr>
            <w:r>
              <w:rPr/>
              <w:t xml:space="preserve">  </w:t>
            </w:r>
          </w:p>
        </w:tc>
        <w:tc>
          <w:tcPr>
            <w:tcW w:w="3526" w:type="dxa"/>
            <w:tcBorders/>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r>
        <w:trPr/>
        <w:tc>
          <w:tcPr>
            <w:tcW w:w="511" w:type="dxa"/>
            <w:tcBorders/>
            <w:vAlign w:val="center"/>
          </w:tcPr>
          <w:p>
            <w:pPr>
              <w:pStyle w:val="TableContents"/>
              <w:bidi w:val="0"/>
              <w:spacing w:before="0" w:after="0"/>
              <w:jc w:val="left"/>
              <w:rPr/>
            </w:pPr>
            <w:r>
              <w:rPr>
                <w:sz w:val="22"/>
              </w:rPr>
              <w:t>By:</w:t>
            </w:r>
            <w:r>
              <w:rPr/>
              <w:t xml:space="preserve"> </w:t>
            </w:r>
          </w:p>
        </w:tc>
        <w:tc>
          <w:tcPr>
            <w:tcW w:w="3526" w:type="dxa"/>
            <w:tcBorders>
              <w:bottom w:val="single" w:sz="12" w:space="0" w:color="000000"/>
            </w:tcBorders>
            <w:tcMar>
              <w:top w:w="0" w:type="dxa"/>
              <w:left w:w="0" w:type="dxa"/>
              <w:right w:w="0" w:type="dxa"/>
            </w:tcMar>
            <w:vAlign w:val="center"/>
          </w:tcPr>
          <w:p>
            <w:pPr>
              <w:pStyle w:val="TableContents"/>
              <w:bidi w:val="0"/>
              <w:spacing w:before="0" w:after="0"/>
              <w:jc w:val="left"/>
              <w:rPr/>
            </w:pPr>
            <w:r>
              <w:rPr>
                <w:sz w:val="22"/>
              </w:rPr>
              <w:t>/s/ Ryo Asakura</w:t>
            </w:r>
            <w:r>
              <w:rPr/>
              <w:t xml:space="preserve"> </w:t>
            </w:r>
          </w:p>
        </w:tc>
        <w:tc>
          <w:tcPr>
            <w:tcW w:w="251" w:type="dxa"/>
            <w:tcBorders/>
            <w:vAlign w:val="center"/>
          </w:tcPr>
          <w:p>
            <w:pPr>
              <w:pStyle w:val="TableContents"/>
              <w:bidi w:val="0"/>
              <w:spacing w:before="0" w:after="0"/>
              <w:jc w:val="left"/>
              <w:rPr/>
            </w:pPr>
            <w:r>
              <w:rPr/>
              <w:t xml:space="preserve">  </w:t>
            </w:r>
          </w:p>
        </w:tc>
      </w:tr>
      <w:tr>
        <w:trPr/>
        <w:tc>
          <w:tcPr>
            <w:tcW w:w="511" w:type="dxa"/>
            <w:tcBorders/>
            <w:vAlign w:val="center"/>
          </w:tcPr>
          <w:p>
            <w:pPr>
              <w:pStyle w:val="TableContents"/>
              <w:bidi w:val="0"/>
              <w:spacing w:before="0" w:after="0"/>
              <w:jc w:val="left"/>
              <w:rPr/>
            </w:pPr>
            <w:r>
              <w:rPr/>
              <w:t xml:space="preserve">  </w:t>
            </w:r>
          </w:p>
        </w:tc>
        <w:tc>
          <w:tcPr>
            <w:tcW w:w="3526" w:type="dxa"/>
            <w:tcBorders/>
            <w:vAlign w:val="center"/>
          </w:tcPr>
          <w:p>
            <w:pPr>
              <w:pStyle w:val="TableContents"/>
              <w:bidi w:val="0"/>
              <w:spacing w:before="0" w:after="0"/>
              <w:jc w:val="left"/>
              <w:rPr/>
            </w:pPr>
            <w:r>
              <w:rPr>
                <w:sz w:val="22"/>
              </w:rPr>
              <w:t>Ryo Asakura, General Counsel</w:t>
            </w:r>
            <w:r>
              <w:rPr/>
              <w:t xml:space="preserve">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rPr>
        <w:t> </w:t>
      </w:r>
      <w:r>
        <w:rPr/>
        <w:t xml:space="preserve"> </w:t>
      </w:r>
    </w:p>
    <w:p>
      <w:pPr>
        <w:pStyle w:val="TextBody"/>
        <w:bidi w:val="0"/>
        <w:spacing w:before="0" w:after="283"/>
        <w:jc w:val="left"/>
        <w:rPr/>
      </w:pPr>
      <w:r>
        <w:rPr/>
        <w:t xml:space="preserve">  </w:t>
      </w:r>
    </w:p>
    <w:p>
      <w:pPr>
        <w:pStyle w:val="TextBody"/>
        <w:bidi w:val="0"/>
        <w:spacing w:before="0" w:after="0"/>
        <w:jc w:val="right"/>
        <w:rPr/>
      </w:pPr>
      <w:bookmarkStart w:id="20" w:name="schedulea.htm"/>
      <w:bookmarkStart w:id="21" w:name="ksschedulea"/>
      <w:bookmarkEnd w:id="20"/>
      <w:bookmarkEnd w:id="21"/>
      <w:r>
        <w:rPr>
          <w:b/>
          <w:color w:val="000000"/>
          <w:sz w:val="20"/>
        </w:rPr>
        <w:t>Exhibit 99.2</w:t>
      </w:r>
      <w:r>
        <w:rPr/>
        <w:t xml:space="preserve"> </w:t>
      </w:r>
      <w:r>
        <w:br w:type="page"/>
      </w:r>
    </w:p>
    <w:p>
      <w:pPr>
        <w:pStyle w:val="TextBody"/>
        <w:bidi w:val="0"/>
        <w:spacing w:before="0" w:after="0"/>
        <w:jc w:val="right"/>
        <w:rPr/>
      </w:pPr>
      <w:r>
        <w:rPr>
          <w:b/>
          <w:color w:val="000000"/>
          <w:sz w:val="20"/>
        </w:rPr>
        <w:t>Schedule A</w:t>
      </w:r>
      <w:r>
        <w:rPr/>
        <w:t xml:space="preserve"> </w:t>
      </w:r>
    </w:p>
    <w:p>
      <w:pPr>
        <w:pStyle w:val="TextBody"/>
        <w:bidi w:val="0"/>
        <w:spacing w:before="0" w:after="0"/>
        <w:jc w:val="right"/>
        <w:rPr/>
      </w:pPr>
      <w:r>
        <w:rPr/>
        <w:t xml:space="preserve">  </w:t>
      </w:r>
    </w:p>
    <w:p>
      <w:pPr>
        <w:pStyle w:val="TextBody"/>
        <w:bidi w:val="0"/>
        <w:spacing w:before="0" w:after="0"/>
        <w:jc w:val="center"/>
        <w:rPr/>
      </w:pPr>
      <w:r>
        <w:rPr>
          <w:b/>
          <w:color w:val="000000"/>
          <w:sz w:val="20"/>
        </w:rPr>
        <w:t>DIRECTORS AND EXECUTIVE OFFICERS OF RENESAS ELECTRONICS CORPORATION</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sz w:val="22"/>
        </w:rPr>
        <w:t>The following table sets forth the name, present principal occupation, and citizenship of each director and executive officer of Renesas Electronics Corporation as of July 9, 2026. The business address of each person listed below is 3-2-24 Toyosu, Koto-Ku, Tokyo 135-0061, Japan.</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b/>
          <w:color w:val="000000"/>
          <w:sz w:val="20"/>
        </w:rPr>
        <w:t>DIRECTORS OF RENESAS ELECTRONICS CORPORATION.</w:t>
      </w:r>
      <w:r>
        <w:rPr/>
        <w:t xml:space="preserve"> </w:t>
      </w:r>
    </w:p>
    <w:tbl>
      <w:tblPr>
        <w:tblW w:w="10205" w:type="dxa"/>
        <w:jc w:val="left"/>
        <w:tblInd w:w="0" w:type="dxa"/>
        <w:tblLayout w:type="fixed"/>
        <w:tblCellMar>
          <w:top w:w="0" w:type="dxa"/>
          <w:left w:w="0" w:type="dxa"/>
          <w:bottom w:w="28" w:type="dxa"/>
          <w:right w:w="0" w:type="dxa"/>
        </w:tblCellMar>
      </w:tblPr>
      <w:tblGrid>
        <w:gridCol w:w="1659"/>
        <w:gridCol w:w="194"/>
        <w:gridCol w:w="6648"/>
        <w:gridCol w:w="194"/>
        <w:gridCol w:w="1510"/>
      </w:tblGrid>
      <w:tr>
        <w:trPr/>
        <w:tc>
          <w:tcPr>
            <w:tcW w:w="1659" w:type="dxa"/>
            <w:tcBorders>
              <w:bottom w:val="single" w:sz="12" w:space="0" w:color="000000"/>
            </w:tcBorders>
            <w:vAlign w:val="center"/>
          </w:tcPr>
          <w:p>
            <w:pPr>
              <w:pStyle w:val="TableContents"/>
              <w:bidi w:val="0"/>
              <w:spacing w:before="0" w:after="0"/>
              <w:jc w:val="center"/>
              <w:rPr>
                <w:b/>
                <w:color w:val="000000"/>
                <w:sz w:val="20"/>
              </w:rPr>
            </w:pPr>
            <w:r>
              <w:rPr>
                <w:b/>
                <w:color w:val="000000"/>
                <w:sz w:val="20"/>
              </w:rPr>
              <w:t xml:space="preserve">Name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bottom w:val="single" w:sz="12" w:space="0" w:color="000000"/>
            </w:tcBorders>
            <w:vAlign w:val="center"/>
          </w:tcPr>
          <w:p>
            <w:pPr>
              <w:pStyle w:val="TableContents"/>
              <w:bidi w:val="0"/>
              <w:spacing w:before="0" w:after="0"/>
              <w:jc w:val="left"/>
              <w:rPr/>
            </w:pPr>
            <w:r>
              <w:rPr>
                <w:color w:val="000000"/>
              </w:rPr>
              <w:t> </w:t>
            </w:r>
            <w:r>
              <w:rPr/>
              <w:t xml:space="preserve"> </w:t>
            </w:r>
          </w:p>
          <w:p>
            <w:pPr>
              <w:pStyle w:val="TableContents"/>
              <w:bidi w:val="0"/>
              <w:spacing w:before="0" w:after="0"/>
              <w:jc w:val="center"/>
              <w:rPr/>
            </w:pPr>
            <w:r>
              <w:rPr>
                <w:b/>
                <w:color w:val="000000"/>
                <w:sz w:val="20"/>
              </w:rPr>
              <w:t>Present Occupation</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bottom w:val="single" w:sz="12" w:space="0" w:color="000000"/>
            </w:tcBorders>
            <w:vAlign w:val="center"/>
          </w:tcPr>
          <w:p>
            <w:pPr>
              <w:pStyle w:val="TableContents"/>
              <w:bidi w:val="0"/>
              <w:spacing w:before="0" w:after="0"/>
              <w:jc w:val="center"/>
              <w:rPr/>
            </w:pPr>
            <w:r>
              <w:rPr>
                <w:b/>
                <w:color w:val="000000"/>
                <w:sz w:val="20"/>
              </w:rPr>
              <w:t>Citizenship</w:t>
            </w:r>
            <w:r>
              <w:rPr/>
              <w:t xml:space="preserve"> </w:t>
            </w:r>
          </w:p>
        </w:tc>
      </w:tr>
      <w:tr>
        <w:trPr/>
        <w:tc>
          <w:tcPr>
            <w:tcW w:w="165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842"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704" w:type="dxa"/>
            <w:gridSpan w:val="2"/>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165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Hidetoshi Shibata</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Chief Executive Officer, President and Director, Renesas Electronics Corporation</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Japan</w:t>
            </w:r>
            <w:r>
              <w:rPr/>
              <w:t xml:space="preserve"> </w:t>
            </w:r>
          </w:p>
        </w:tc>
      </w:tr>
      <w:tr>
        <w:trPr/>
        <w:tc>
          <w:tcPr>
            <w:tcW w:w="165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165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Jiro Iwasaki</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Outside Director, Renesas Electronics Corporation Outside Director, SBS Holdings, Inc.</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Japan</w:t>
            </w:r>
            <w:r>
              <w:rPr/>
              <w:t xml:space="preserve"> </w:t>
            </w:r>
          </w:p>
        </w:tc>
      </w:tr>
      <w:tr>
        <w:trPr/>
        <w:tc>
          <w:tcPr>
            <w:tcW w:w="165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165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Selena Loh LaCroix</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shd w:fill="CCEEFF" w:val="clear"/>
            <w:tcMar>
              <w:top w:w="28" w:type="dxa"/>
              <w:left w:w="28" w:type="dxa"/>
              <w:right w:w="28" w:type="dxa"/>
            </w:tcMar>
            <w:vAlign w:val="center"/>
          </w:tcPr>
          <w:p>
            <w:pPr>
              <w:pStyle w:val="TableContents"/>
              <w:bidi w:val="0"/>
              <w:spacing w:before="0" w:after="0"/>
              <w:jc w:val="left"/>
              <w:rPr>
                <w:color w:val="000000"/>
                <w:sz w:val="20"/>
              </w:rPr>
            </w:pPr>
            <w:r>
              <w:rPr>
                <w:color w:val="000000"/>
                <w:sz w:val="20"/>
              </w:rPr>
              <w:t xml:space="preserve">Outside Director, Renesas Electronics Corporation </w:t>
            </w:r>
          </w:p>
          <w:p>
            <w:pPr>
              <w:pStyle w:val="TableContents"/>
              <w:bidi w:val="0"/>
              <w:spacing w:before="0" w:after="0"/>
              <w:jc w:val="left"/>
              <w:rPr>
                <w:color w:val="000000"/>
                <w:sz w:val="20"/>
              </w:rPr>
            </w:pPr>
            <w:r>
              <w:rPr>
                <w:color w:val="000000"/>
                <w:sz w:val="20"/>
              </w:rPr>
              <w:t xml:space="preserve">Vice Chair, Technology Practice, Korn Ferry </w:t>
            </w:r>
          </w:p>
          <w:p>
            <w:pPr>
              <w:pStyle w:val="TableContents"/>
              <w:bidi w:val="0"/>
              <w:spacing w:before="0" w:after="0"/>
              <w:jc w:val="left"/>
              <w:rPr>
                <w:color w:val="000000"/>
                <w:sz w:val="20"/>
              </w:rPr>
            </w:pPr>
            <w:r>
              <w:rPr>
                <w:color w:val="000000"/>
                <w:sz w:val="20"/>
              </w:rPr>
              <w:t xml:space="preserve">Board Member (part time), National Association of Corporate Directors – North Texas Chapter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Singapore</w:t>
            </w:r>
            <w:r>
              <w:rPr/>
              <w:t xml:space="preserve"> </w:t>
            </w:r>
          </w:p>
        </w:tc>
      </w:tr>
      <w:tr>
        <w:trPr/>
        <w:tc>
          <w:tcPr>
            <w:tcW w:w="165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842"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704" w:type="dxa"/>
            <w:gridSpan w:val="2"/>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165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Noboru Yamamoto</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283"/>
              <w:jc w:val="left"/>
              <w:rPr/>
            </w:pPr>
            <w:r>
              <w:rPr/>
              <w:t xml:space="preserve">  </w:t>
            </w:r>
          </w:p>
        </w:tc>
        <w:tc>
          <w:tcPr>
            <w:tcW w:w="6648"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Representative Director, Representative Partner &amp; CEO, XIB Inc.</w:t>
            </w:r>
            <w:r>
              <w:rPr/>
              <w:t xml:space="preserve"> </w:t>
            </w:r>
          </w:p>
          <w:p>
            <w:pPr>
              <w:pStyle w:val="TableContents"/>
              <w:bidi w:val="0"/>
              <w:spacing w:before="0" w:after="0"/>
              <w:jc w:val="left"/>
              <w:rPr/>
            </w:pPr>
            <w:r>
              <w:rPr>
                <w:color w:val="000000"/>
                <w:sz w:val="20"/>
              </w:rPr>
              <w:t>Outside Director, Chairperson of the Board of Directors, Tsubaki Nakashima Co., Ltd.</w:t>
            </w:r>
            <w:r>
              <w:rPr/>
              <w:t xml:space="preserve"> </w:t>
            </w:r>
          </w:p>
          <w:p>
            <w:pPr>
              <w:pStyle w:val="TableContents"/>
              <w:bidi w:val="0"/>
              <w:spacing w:before="0" w:after="0"/>
              <w:jc w:val="left"/>
              <w:rPr/>
            </w:pPr>
            <w:r>
              <w:rPr>
                <w:color w:val="000000"/>
                <w:sz w:val="20"/>
              </w:rPr>
              <w:t>Outside Director, Renesas Electronics Corporation</w:t>
            </w:r>
            <w:r>
              <w:rPr/>
              <w:t xml:space="preserve"> </w:t>
            </w:r>
          </w:p>
          <w:p>
            <w:pPr>
              <w:pStyle w:val="TableContents"/>
              <w:bidi w:val="0"/>
              <w:spacing w:before="0" w:after="0"/>
              <w:jc w:val="left"/>
              <w:rPr/>
            </w:pPr>
            <w:r>
              <w:rPr>
                <w:color w:val="000000"/>
                <w:sz w:val="20"/>
              </w:rPr>
              <w:t>Outside Director, Koki Holdings Co., Ltd.</w:t>
            </w:r>
            <w:r>
              <w:rPr/>
              <w:t xml:space="preserve"> </w:t>
            </w:r>
          </w:p>
          <w:p>
            <w:pPr>
              <w:pStyle w:val="TableContents"/>
              <w:bidi w:val="0"/>
              <w:spacing w:before="0" w:after="0"/>
              <w:jc w:val="left"/>
              <w:rPr/>
            </w:pPr>
            <w:r>
              <w:rPr>
                <w:color w:val="000000"/>
                <w:sz w:val="20"/>
              </w:rPr>
              <w:t>Outside Director, Marelli Corporation</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Japan</w:t>
            </w:r>
            <w:r>
              <w:rPr/>
              <w:t xml:space="preserve"> </w:t>
            </w:r>
          </w:p>
        </w:tc>
      </w:tr>
      <w:tr>
        <w:trPr/>
        <w:tc>
          <w:tcPr>
            <w:tcW w:w="165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165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Takuya Hirano</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Outside Director, Renesas Electronics Corporation</w:t>
            </w:r>
            <w:r>
              <w:rPr/>
              <w:t xml:space="preserve"> </w:t>
            </w:r>
          </w:p>
          <w:p>
            <w:pPr>
              <w:pStyle w:val="TableContents"/>
              <w:bidi w:val="0"/>
              <w:spacing w:before="0" w:after="0"/>
              <w:jc w:val="left"/>
              <w:rPr/>
            </w:pPr>
            <w:r>
              <w:rPr>
                <w:color w:val="000000"/>
                <w:sz w:val="20"/>
              </w:rPr>
              <w:t>Chairman (part-time), Yayoi Co., Ltd.</w:t>
            </w:r>
            <w:r>
              <w:rPr/>
              <w:t xml:space="preserve"> </w:t>
            </w:r>
          </w:p>
          <w:p>
            <w:pPr>
              <w:pStyle w:val="TableContents"/>
              <w:bidi w:val="0"/>
              <w:spacing w:before="0" w:after="0"/>
              <w:jc w:val="left"/>
              <w:rPr/>
            </w:pPr>
            <w:r>
              <w:rPr>
                <w:color w:val="000000"/>
                <w:sz w:val="20"/>
              </w:rPr>
              <w:t>Outside Director, Yokogawa Electric Corporation</w:t>
            </w:r>
            <w:r>
              <w:rPr/>
              <w:t xml:space="preserve"> </w:t>
            </w:r>
          </w:p>
          <w:p>
            <w:pPr>
              <w:pStyle w:val="TableContents"/>
              <w:bidi w:val="0"/>
              <w:spacing w:before="0" w:after="0"/>
              <w:jc w:val="left"/>
              <w:rPr/>
            </w:pPr>
            <w:r>
              <w:rPr>
                <w:color w:val="000000"/>
                <w:sz w:val="20"/>
              </w:rPr>
              <w:t>Outside Director, Fujitsu Limited</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USA and Japan</w:t>
            </w:r>
            <w:r>
              <w:rPr/>
              <w:t xml:space="preserve"> </w:t>
            </w:r>
          </w:p>
        </w:tc>
      </w:tr>
      <w:tr>
        <w:trPr/>
        <w:tc>
          <w:tcPr>
            <w:tcW w:w="165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165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Tomoko Mizuno</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Outside Director, Renesas Electronics Corporation Director, Japan Automatic Machine Co., Ltd.</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Japan</w:t>
            </w:r>
            <w:r>
              <w:rPr/>
              <w:t xml:space="preserve"> </w:t>
            </w:r>
          </w:p>
        </w:tc>
      </w:tr>
      <w:tr>
        <w:trPr/>
        <w:tc>
          <w:tcPr>
            <w:tcW w:w="165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165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Kimberly Mathisen</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48"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Chief Executive Officer, HUB Ocean</w:t>
            </w:r>
            <w:r>
              <w:rPr/>
              <w:t xml:space="preserve"> </w:t>
            </w:r>
          </w:p>
          <w:p>
            <w:pPr>
              <w:pStyle w:val="TableContents"/>
              <w:bidi w:val="0"/>
              <w:spacing w:before="0" w:after="0"/>
              <w:jc w:val="left"/>
              <w:rPr/>
            </w:pPr>
            <w:r>
              <w:rPr>
                <w:color w:val="000000"/>
                <w:sz w:val="20"/>
              </w:rPr>
              <w:t>Outside Director, Renesas Electronics Corporation</w:t>
            </w:r>
            <w:r>
              <w:rPr/>
              <w:t xml:space="preserve"> </w:t>
            </w:r>
          </w:p>
          <w:p>
            <w:pPr>
              <w:pStyle w:val="TableContents"/>
              <w:bidi w:val="0"/>
              <w:spacing w:before="0" w:after="0"/>
              <w:jc w:val="left"/>
              <w:rPr/>
            </w:pPr>
            <w:r>
              <w:rPr>
                <w:color w:val="000000"/>
                <w:sz w:val="20"/>
              </w:rPr>
              <w:t>Supervisory Board Member, Bayer AG</w:t>
            </w:r>
            <w:r>
              <w:rPr/>
              <w:t xml:space="preserve"> </w:t>
            </w:r>
          </w:p>
        </w:tc>
        <w:tc>
          <w:tcPr>
            <w:tcW w:w="19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10"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USA and Norway</w:t>
            </w:r>
            <w:r>
              <w:rPr/>
              <w:t xml:space="preserve"> </w:t>
            </w:r>
          </w:p>
        </w:tc>
      </w:tr>
    </w:tbl>
    <w:p>
      <w:pPr>
        <w:pStyle w:val="TextBody"/>
        <w:bidi w:val="0"/>
        <w:spacing w:before="0" w:after="0"/>
        <w:jc w:val="left"/>
        <w:rPr/>
      </w:pPr>
      <w:r>
        <w:rPr>
          <w:color w:val="000000"/>
        </w:rPr>
        <w:t> </w:t>
      </w:r>
      <w:r>
        <w:rPr/>
        <w:t xml:space="preserve"> </w:t>
      </w:r>
    </w:p>
    <w:p>
      <w:pPr>
        <w:pStyle w:val="TextBody"/>
        <w:bidi w:val="0"/>
        <w:spacing w:before="60" w:after="60"/>
        <w:jc w:val="left"/>
        <w:rPr/>
      </w:pPr>
      <w:r>
        <w:rPr>
          <w:b/>
          <w:color w:val="000000"/>
          <w:sz w:val="20"/>
        </w:rPr>
        <w:t>EXECUTIVE OFFICERS OF RENESAS ELECTRONICS CORPORATION.</w:t>
      </w:r>
      <w:r>
        <w:rPr/>
        <w:t xml:space="preserve"> </w:t>
      </w:r>
    </w:p>
    <w:p>
      <w:pPr>
        <w:pStyle w:val="TextBody"/>
        <w:bidi w:val="0"/>
        <w:spacing w:before="60" w:after="6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1467"/>
        <w:gridCol w:w="189"/>
        <w:gridCol w:w="7075"/>
        <w:gridCol w:w="189"/>
        <w:gridCol w:w="1285"/>
      </w:tblGrid>
      <w:tr>
        <w:trPr/>
        <w:tc>
          <w:tcPr>
            <w:tcW w:w="1467" w:type="dxa"/>
            <w:tcBorders>
              <w:bottom w:val="single" w:sz="12" w:space="0" w:color="000000"/>
            </w:tcBorders>
            <w:vAlign w:val="center"/>
          </w:tcPr>
          <w:p>
            <w:pPr>
              <w:pStyle w:val="TableContents"/>
              <w:bidi w:val="0"/>
              <w:spacing w:before="0" w:after="0"/>
              <w:jc w:val="center"/>
              <w:rPr/>
            </w:pPr>
            <w:r>
              <w:rPr>
                <w:b/>
                <w:color w:val="000000"/>
                <w:sz w:val="20"/>
              </w:rPr>
              <w:t>Name</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bottom w:val="single" w:sz="12" w:space="0" w:color="000000"/>
            </w:tcBorders>
            <w:vAlign w:val="center"/>
          </w:tcPr>
          <w:p>
            <w:pPr>
              <w:pStyle w:val="TableContents"/>
              <w:bidi w:val="0"/>
              <w:spacing w:before="0" w:after="0"/>
              <w:jc w:val="center"/>
              <w:rPr/>
            </w:pPr>
            <w:r>
              <w:rPr>
                <w:b/>
                <w:color w:val="000000"/>
                <w:sz w:val="20"/>
              </w:rPr>
              <w:t>Present Occupation</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bottom w:val="single" w:sz="12" w:space="0" w:color="000000"/>
            </w:tcBorders>
            <w:vAlign w:val="center"/>
          </w:tcPr>
          <w:p>
            <w:pPr>
              <w:pStyle w:val="TableContents"/>
              <w:bidi w:val="0"/>
              <w:spacing w:before="0" w:after="0"/>
              <w:jc w:val="center"/>
              <w:rPr/>
            </w:pPr>
            <w:r>
              <w:rPr>
                <w:b/>
                <w:color w:val="000000"/>
                <w:sz w:val="20"/>
              </w:rPr>
              <w:t>Citizenship</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264"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474"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Hidetoshi Shibata</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Chief Executive Officer, President and Director, Renesas Electronics Corporation</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Japan</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Shuhei Shinkai</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sz w:val="20"/>
              </w:rPr>
              <w:t xml:space="preserve">Senior Vice President and </w:t>
            </w:r>
            <w:r>
              <w:rPr>
                <w:color w:val="000000"/>
                <w:sz w:val="20"/>
              </w:rPr>
              <w:t>Chief Financial Officer, Renesas Electronics Corporation</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Japan</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Utae Nakanishi</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sz w:val="20"/>
              </w:rPr>
              <w:t xml:space="preserve">Senior Vice President and </w:t>
            </w:r>
            <w:r>
              <w:rPr>
                <w:color w:val="000000"/>
                <w:sz w:val="20"/>
              </w:rPr>
              <w:t>Chief Human Resources Officer, Renesas Electronics Corporation</w:t>
            </w:r>
            <w:r>
              <w:rPr/>
              <w:t xml:space="preserve"> </w:t>
            </w:r>
          </w:p>
          <w:p>
            <w:pPr>
              <w:pStyle w:val="TableContents"/>
              <w:bidi w:val="0"/>
              <w:spacing w:before="0" w:after="0"/>
              <w:jc w:val="left"/>
              <w:rPr/>
            </w:pPr>
            <w:r>
              <w:rPr>
                <w:color w:val="000000"/>
                <w:sz w:val="20"/>
              </w:rPr>
              <w:t>President and Director, Renesas Electronics America Inc.</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Japan</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sz w:val="20"/>
              </w:rPr>
              <w:t>Vivek Bhan</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sz w:val="20"/>
              </w:rPr>
              <w:t>Senior Vice President and General Manager of High Performance Computing, Renesas Electronics Corporation</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FF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sz w:val="20"/>
              </w:rPr>
              <w:t>USA</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264"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474"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Zaher Baidas</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Senior Vice President and General Manager of Power, Renesas Electronics Corporation</w:t>
            </w:r>
            <w:r>
              <w:rPr/>
              <w:t xml:space="preserve"> </w:t>
            </w:r>
          </w:p>
          <w:p>
            <w:pPr>
              <w:pStyle w:val="TableContents"/>
              <w:bidi w:val="0"/>
              <w:spacing w:before="0" w:after="0"/>
              <w:jc w:val="left"/>
              <w:rPr/>
            </w:pPr>
            <w:r>
              <w:rPr>
                <w:color w:val="000000"/>
                <w:sz w:val="20"/>
              </w:rPr>
              <w:t>Director, Renesas Electronics Canada Limited</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Canada</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sz w:val="20"/>
              </w:rPr>
              <w:t>Aram Mirkazemi</w:t>
            </w:r>
            <w:r>
              <w:rPr/>
              <w:t xml:space="preserve"> </w:t>
            </w:r>
          </w:p>
          <w:p>
            <w:pPr>
              <w:pStyle w:val="TableContents"/>
              <w:bidi w:val="0"/>
              <w:spacing w:before="0" w:after="0"/>
              <w:jc w:val="left"/>
              <w:rPr/>
            </w:pP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sz w:val="20"/>
              </w:rPr>
              <w:t>Senior Vice President and General Manager of Software &amp; Digitalization, Renesas Electronics Corporation</w:t>
            </w:r>
            <w:r>
              <w:rPr/>
              <w:t xml:space="preserve"> </w:t>
            </w:r>
          </w:p>
          <w:p>
            <w:pPr>
              <w:pStyle w:val="TableContents"/>
              <w:bidi w:val="0"/>
              <w:spacing w:before="0" w:after="0"/>
              <w:jc w:val="left"/>
              <w:rPr/>
            </w:pPr>
            <w:r>
              <w:rPr>
                <w:sz w:val="20"/>
              </w:rPr>
              <w:t>Director, Altium Information Technology (Shanghai) Co. Ltd.</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FF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sz w:val="20"/>
              </w:rPr>
              <w:t>Australia</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sz w:val="20"/>
              </w:rPr>
              <w:t>Takeshi Kataoka</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sz w:val="20"/>
              </w:rPr>
              <w:t>Senior Vice President and Head of Operations, Renesas Electronics Corporation</w:t>
            </w:r>
            <w:r>
              <w:rPr/>
              <w:t xml:space="preserve"> </w:t>
            </w:r>
          </w:p>
          <w:p>
            <w:pPr>
              <w:pStyle w:val="TableContents"/>
              <w:bidi w:val="0"/>
              <w:spacing w:before="0" w:after="0"/>
              <w:jc w:val="left"/>
              <w:rPr/>
            </w:pPr>
            <w:r>
              <w:rPr>
                <w:sz w:val="20"/>
              </w:rPr>
              <w:t>President and Director, Renesas Electronics (Penang) Sdn. Bhd.</w:t>
            </w:r>
            <w:r>
              <w:rPr/>
              <w:t xml:space="preserve"> </w:t>
            </w:r>
          </w:p>
          <w:p>
            <w:pPr>
              <w:pStyle w:val="TableContents"/>
              <w:bidi w:val="0"/>
              <w:spacing w:before="0" w:after="0"/>
              <w:jc w:val="left"/>
              <w:rPr/>
            </w:pPr>
            <w:r>
              <w:rPr>
                <w:sz w:val="20"/>
              </w:rPr>
              <w:t>Director, Renesas Semiconductor Design (Bejing) Co., Ltd.</w:t>
            </w:r>
            <w:r>
              <w:rPr/>
              <w:t xml:space="preserve"> </w:t>
            </w:r>
          </w:p>
          <w:p>
            <w:pPr>
              <w:pStyle w:val="TableContents"/>
              <w:bidi w:val="0"/>
              <w:spacing w:before="0" w:after="0"/>
              <w:jc w:val="left"/>
              <w:rPr/>
            </w:pPr>
            <w:r>
              <w:rPr>
                <w:sz w:val="20"/>
              </w:rPr>
              <w:t>Chairman, Renesas Design Vietnam Co., Ltd.</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FF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sz w:val="20"/>
              </w:rPr>
              <w:t>Japan</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sz w:val="20"/>
              </w:rPr>
              <w:t>Stephen Limoges</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sz w:val="20"/>
              </w:rPr>
              <w:t>Vice President and Chief Sales Officer, Renesas Electronics Corporation</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FF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sz w:val="20"/>
              </w:rPr>
              <w:t>USA</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sz w:val="20"/>
              </w:rPr>
              <w:t>Peter Jenkins</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sz w:val="20"/>
              </w:rPr>
              <w:t>Vice President and General Manager of Analog &amp; Mixed Signal, Renesas Electronics Corporation</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FF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sz w:val="20"/>
              </w:rPr>
              <w:t>USA</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sz w:val="20"/>
              </w:rPr>
              <w:t>Gaurang Shah</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sz w:val="20"/>
              </w:rPr>
              <w:t>Vice President and General Manager of Embedded Processing, Renesas Electronics Corporation</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FF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sz w:val="20"/>
              </w:rPr>
              <w:t>USA</w:t>
            </w:r>
            <w:r>
              <w:rPr/>
              <w:t xml:space="preserve"> </w:t>
            </w:r>
          </w:p>
        </w:tc>
      </w:tr>
      <w:tr>
        <w:trPr/>
        <w:tc>
          <w:tcPr>
            <w:tcW w:w="1467"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075"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8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85"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467" w:type="dxa"/>
            <w:tcBorders/>
            <w:shd w:fill="CCEEFF" w:val="clear"/>
            <w:tcMar>
              <w:top w:w="28" w:type="dxa"/>
              <w:left w:w="28" w:type="dxa"/>
              <w:right w:w="28" w:type="dxa"/>
            </w:tcMar>
            <w:vAlign w:val="center"/>
          </w:tcPr>
          <w:p>
            <w:pPr>
              <w:pStyle w:val="TableContents"/>
              <w:bidi w:val="0"/>
              <w:spacing w:before="0" w:after="0"/>
              <w:jc w:val="left"/>
              <w:rPr/>
            </w:pPr>
            <w:r>
              <w:rPr>
                <w:sz w:val="20"/>
              </w:rPr>
              <w:t>Ivo Marocco</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7075" w:type="dxa"/>
            <w:tcBorders/>
            <w:shd w:fill="CCEEFF" w:val="clear"/>
            <w:tcMar>
              <w:top w:w="28" w:type="dxa"/>
              <w:left w:w="28" w:type="dxa"/>
              <w:right w:w="28" w:type="dxa"/>
            </w:tcMar>
            <w:vAlign w:val="center"/>
          </w:tcPr>
          <w:p>
            <w:pPr>
              <w:pStyle w:val="TableContents"/>
              <w:bidi w:val="0"/>
              <w:spacing w:before="0" w:after="0"/>
              <w:jc w:val="left"/>
              <w:rPr/>
            </w:pPr>
            <w:r>
              <w:rPr>
                <w:sz w:val="20"/>
              </w:rPr>
              <w:t>Vice President and Head of UX, Renesas Electronics Corporation</w:t>
            </w:r>
            <w:r>
              <w:rPr/>
              <w:t xml:space="preserve"> </w:t>
            </w:r>
          </w:p>
        </w:tc>
        <w:tc>
          <w:tcPr>
            <w:tcW w:w="189" w:type="dxa"/>
            <w:tcBorders/>
            <w:shd w:fill="CCEEFF" w:val="clear"/>
            <w:tcMar>
              <w:top w:w="28" w:type="dxa"/>
              <w:left w:w="28" w:type="dxa"/>
              <w:right w:w="28" w:type="dxa"/>
            </w:tcMar>
            <w:vAlign w:val="center"/>
          </w:tcPr>
          <w:p>
            <w:pPr>
              <w:pStyle w:val="TableContents"/>
              <w:bidi w:val="0"/>
              <w:spacing w:before="0" w:after="0"/>
              <w:jc w:val="left"/>
              <w:rPr/>
            </w:pPr>
            <w:r>
              <w:rPr>
                <w:color w:val="FF0000"/>
              </w:rPr>
              <w:t> </w:t>
            </w:r>
            <w:r>
              <w:rPr/>
              <w:t xml:space="preserve"> </w:t>
            </w:r>
          </w:p>
        </w:tc>
        <w:tc>
          <w:tcPr>
            <w:tcW w:w="1285" w:type="dxa"/>
            <w:tcBorders/>
            <w:shd w:fill="CCEEFF" w:val="clear"/>
            <w:tcMar>
              <w:top w:w="28" w:type="dxa"/>
              <w:left w:w="28" w:type="dxa"/>
              <w:right w:w="28" w:type="dxa"/>
            </w:tcMar>
            <w:vAlign w:val="center"/>
          </w:tcPr>
          <w:p>
            <w:pPr>
              <w:pStyle w:val="TableContents"/>
              <w:bidi w:val="0"/>
              <w:spacing w:before="0" w:after="0"/>
              <w:jc w:val="center"/>
              <w:rPr/>
            </w:pPr>
            <w:r>
              <w:rPr>
                <w:sz w:val="20"/>
              </w:rPr>
              <w:t>USA and Italy</w:t>
            </w:r>
            <w:r>
              <w:rPr/>
              <w:t xml:space="preserve"> </w:t>
            </w:r>
          </w:p>
        </w:tc>
      </w:tr>
    </w:tbl>
    <w:p>
      <w:pPr>
        <w:pStyle w:val="TextBody"/>
        <w:bidi w:val="0"/>
        <w:spacing w:before="60" w:after="60"/>
        <w:jc w:val="left"/>
        <w:rPr/>
      </w:pPr>
      <w:r>
        <w:rPr/>
        <w:t xml:space="preserve">  </w:t>
      </w:r>
    </w:p>
    <w:p>
      <w:pPr>
        <w:pStyle w:val="TextBody"/>
        <w:bidi w:val="0"/>
        <w:spacing w:before="0" w:after="0"/>
        <w:jc w:val="left"/>
        <w:rPr/>
      </w:pPr>
      <w:r>
        <w:rPr>
          <w:b/>
          <w:color w:val="000000"/>
          <w:sz w:val="20"/>
        </w:rPr>
        <w:t>DIRECTORS AND EXECUTIVE OFFICERS OF RENESAS ELECTRONICS AMERICA INC.</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sz w:val="22"/>
        </w:rPr>
        <w:t>The following table sets forth the name, present principal occupation, and citizenship of each director and executive officer of Renesas Electronics America Inc. as of July 9, 2026.  The business address of each person listed below is 6024 Silver Creek Valley Road, San Jose, CA 95138.</w:t>
      </w:r>
      <w:r>
        <w:rPr/>
        <w:t xml:space="preserve"> </w:t>
      </w:r>
    </w:p>
    <w:p>
      <w:pPr>
        <w:pStyle w:val="TextBody"/>
        <w:bidi w:val="0"/>
        <w:spacing w:before="0" w:after="0"/>
        <w:jc w:val="left"/>
        <w:rPr/>
      </w:pPr>
      <w:r>
        <w:rPr/>
        <w:t xml:space="preserve">  </w:t>
      </w:r>
    </w:p>
    <w:p>
      <w:pPr>
        <w:pStyle w:val="TextBody"/>
        <w:bidi w:val="0"/>
        <w:spacing w:before="0" w:after="0"/>
        <w:jc w:val="left"/>
        <w:rPr/>
      </w:pPr>
      <w:r>
        <w:rPr>
          <w:b/>
          <w:color w:val="000000"/>
          <w:sz w:val="20"/>
        </w:rPr>
        <w:t>DIRECTORS OF RENESAS ELECTRONICS AMERICA INC.</w:t>
      </w:r>
      <w:r>
        <w:rPr/>
        <w:t xml:space="preserve"> </w:t>
      </w:r>
    </w:p>
    <w:tbl>
      <w:tblPr>
        <w:tblW w:w="10205" w:type="dxa"/>
        <w:jc w:val="left"/>
        <w:tblInd w:w="0" w:type="dxa"/>
        <w:tblLayout w:type="fixed"/>
        <w:tblCellMar>
          <w:top w:w="0" w:type="dxa"/>
          <w:left w:w="0" w:type="dxa"/>
          <w:bottom w:w="28" w:type="dxa"/>
          <w:right w:w="0" w:type="dxa"/>
        </w:tblCellMar>
      </w:tblPr>
      <w:tblGrid>
        <w:gridCol w:w="1400"/>
        <w:gridCol w:w="202"/>
        <w:gridCol w:w="7246"/>
        <w:gridCol w:w="202"/>
        <w:gridCol w:w="1155"/>
      </w:tblGrid>
      <w:tr>
        <w:trPr/>
        <w:tc>
          <w:tcPr>
            <w:tcW w:w="1400" w:type="dxa"/>
            <w:tcBorders>
              <w:bottom w:val="single" w:sz="12" w:space="0" w:color="000000"/>
            </w:tcBorders>
            <w:vAlign w:val="center"/>
          </w:tcPr>
          <w:p>
            <w:pPr>
              <w:pStyle w:val="TableContents"/>
              <w:bidi w:val="0"/>
              <w:spacing w:before="0" w:after="0"/>
              <w:jc w:val="center"/>
              <w:rPr/>
            </w:pPr>
            <w:r>
              <w:rPr>
                <w:color w:val="000000"/>
              </w:rPr>
              <w:t> </w:t>
            </w:r>
            <w:r>
              <w:rPr>
                <w:b/>
                <w:color w:val="000000"/>
                <w:sz w:val="20"/>
              </w:rPr>
              <w:t>Name</w:t>
            </w:r>
            <w:r>
              <w:rPr/>
              <w:t xml:space="preserve"> </w:t>
            </w:r>
          </w:p>
        </w:tc>
        <w:tc>
          <w:tcPr>
            <w:tcW w:w="202"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246" w:type="dxa"/>
            <w:tcBorders>
              <w:bottom w:val="single" w:sz="12" w:space="0" w:color="000000"/>
            </w:tcBorders>
            <w:vAlign w:val="center"/>
          </w:tcPr>
          <w:p>
            <w:pPr>
              <w:pStyle w:val="TableContents"/>
              <w:bidi w:val="0"/>
              <w:spacing w:before="0" w:after="0"/>
              <w:jc w:val="left"/>
              <w:rPr/>
            </w:pPr>
            <w:r>
              <w:rPr>
                <w:color w:val="000000"/>
              </w:rPr>
              <w:t> </w:t>
            </w:r>
            <w:r>
              <w:rPr/>
              <w:t xml:space="preserve"> </w:t>
            </w:r>
          </w:p>
          <w:p>
            <w:pPr>
              <w:pStyle w:val="TableContents"/>
              <w:bidi w:val="0"/>
              <w:spacing w:before="0" w:after="0"/>
              <w:jc w:val="center"/>
              <w:rPr/>
            </w:pPr>
            <w:r>
              <w:rPr>
                <w:b/>
                <w:color w:val="000000"/>
                <w:sz w:val="20"/>
              </w:rPr>
              <w:t>Present Occupation</w:t>
            </w:r>
            <w:r>
              <w:rPr/>
              <w:t xml:space="preserve"> </w:t>
            </w:r>
          </w:p>
        </w:tc>
        <w:tc>
          <w:tcPr>
            <w:tcW w:w="202"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155" w:type="dxa"/>
            <w:tcBorders>
              <w:bottom w:val="single" w:sz="12" w:space="0" w:color="000000"/>
            </w:tcBorders>
            <w:vAlign w:val="center"/>
          </w:tcPr>
          <w:p>
            <w:pPr>
              <w:pStyle w:val="TableContents"/>
              <w:bidi w:val="0"/>
              <w:spacing w:before="0" w:after="0"/>
              <w:jc w:val="center"/>
              <w:rPr/>
            </w:pPr>
            <w:r>
              <w:rPr>
                <w:b/>
                <w:color w:val="000000"/>
                <w:sz w:val="20"/>
              </w:rPr>
              <w:t>Citizenship</w:t>
            </w:r>
            <w:r>
              <w:rPr/>
              <w:t xml:space="preserve"> </w:t>
            </w:r>
          </w:p>
        </w:tc>
      </w:tr>
      <w:tr>
        <w:trPr/>
        <w:tc>
          <w:tcPr>
            <w:tcW w:w="1400"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448" w:type="dxa"/>
            <w:gridSpan w:val="2"/>
            <w:tcBorders/>
            <w:tcMar>
              <w:top w:w="28" w:type="dxa"/>
              <w:left w:w="28" w:type="dxa"/>
              <w:right w:w="28" w:type="dxa"/>
            </w:tcMar>
            <w:vAlign w:val="center"/>
          </w:tcPr>
          <w:p>
            <w:pPr>
              <w:pStyle w:val="TableContents"/>
              <w:bidi w:val="0"/>
              <w:spacing w:before="0" w:after="0"/>
              <w:ind w:left="157" w:right="0" w:hanging="0"/>
              <w:jc w:val="left"/>
              <w:rPr/>
            </w:pPr>
            <w:r>
              <w:rPr/>
              <w:t xml:space="preserve">  </w:t>
            </w:r>
          </w:p>
        </w:tc>
        <w:tc>
          <w:tcPr>
            <w:tcW w:w="1357" w:type="dxa"/>
            <w:gridSpan w:val="2"/>
            <w:tcBorders/>
            <w:tcMar>
              <w:top w:w="28" w:type="dxa"/>
              <w:left w:w="28" w:type="dxa"/>
              <w:right w:w="28" w:type="dxa"/>
            </w:tcMar>
            <w:vAlign w:val="center"/>
          </w:tcPr>
          <w:p>
            <w:pPr>
              <w:pStyle w:val="TableContents"/>
              <w:bidi w:val="0"/>
              <w:spacing w:before="0" w:after="0"/>
              <w:ind w:left="84" w:right="0" w:hanging="0"/>
              <w:jc w:val="left"/>
              <w:rPr/>
            </w:pPr>
            <w:r>
              <w:rPr/>
              <w:t xml:space="preserve">  </w:t>
            </w:r>
          </w:p>
        </w:tc>
      </w:tr>
      <w:tr>
        <w:trPr/>
        <w:tc>
          <w:tcPr>
            <w:tcW w:w="1400"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Utae Nakanishi</w:t>
            </w:r>
            <w:r>
              <w:rPr/>
              <w:t xml:space="preserve"> </w:t>
            </w:r>
          </w:p>
        </w:tc>
        <w:tc>
          <w:tcPr>
            <w:tcW w:w="202"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7246" w:type="dxa"/>
            <w:tcBorders/>
            <w:shd w:fill="CCEEFF" w:val="clear"/>
            <w:tcMar>
              <w:top w:w="28" w:type="dxa"/>
              <w:left w:w="28" w:type="dxa"/>
              <w:right w:w="28" w:type="dxa"/>
            </w:tcMar>
            <w:vAlign w:val="center"/>
          </w:tcPr>
          <w:p>
            <w:pPr>
              <w:pStyle w:val="TableContents"/>
              <w:bidi w:val="0"/>
              <w:spacing w:before="0" w:after="0"/>
              <w:jc w:val="left"/>
              <w:rPr/>
            </w:pPr>
            <w:r>
              <w:rPr>
                <w:sz w:val="20"/>
              </w:rPr>
              <w:t xml:space="preserve">Senior Vice President and </w:t>
            </w:r>
            <w:r>
              <w:rPr>
                <w:color w:val="000000"/>
                <w:sz w:val="20"/>
              </w:rPr>
              <w:t>Chief Human Resources Officer, Renesas Electronics Corporation</w:t>
            </w:r>
            <w:r>
              <w:rPr/>
              <w:t xml:space="preserve"> </w:t>
            </w:r>
          </w:p>
          <w:p>
            <w:pPr>
              <w:pStyle w:val="TableContents"/>
              <w:bidi w:val="0"/>
              <w:spacing w:before="0" w:after="0"/>
              <w:jc w:val="left"/>
              <w:rPr/>
            </w:pPr>
            <w:r>
              <w:rPr>
                <w:color w:val="000000"/>
                <w:sz w:val="20"/>
              </w:rPr>
              <w:t>President and Director, Renesas Electronics America Inc.</w:t>
            </w:r>
            <w:r>
              <w:rPr/>
              <w:t xml:space="preserve"> </w:t>
            </w:r>
          </w:p>
        </w:tc>
        <w:tc>
          <w:tcPr>
            <w:tcW w:w="202"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1155" w:type="dxa"/>
            <w:tcBorders/>
            <w:shd w:fill="CCEEFF" w:val="clear"/>
            <w:tcMar>
              <w:top w:w="28" w:type="dxa"/>
              <w:left w:w="28" w:type="dxa"/>
              <w:right w:w="28" w:type="dxa"/>
            </w:tcMar>
            <w:vAlign w:val="center"/>
          </w:tcPr>
          <w:p>
            <w:pPr>
              <w:pStyle w:val="TableContents"/>
              <w:bidi w:val="0"/>
              <w:spacing w:before="0" w:after="0"/>
              <w:ind w:left="23" w:right="0" w:hanging="0"/>
              <w:jc w:val="center"/>
              <w:rPr/>
            </w:pPr>
            <w:r>
              <w:rPr>
                <w:sz w:val="20"/>
              </w:rPr>
              <w:t>Japan</w:t>
            </w:r>
            <w:r>
              <w:rPr/>
              <w:t xml:space="preserve"> </w:t>
            </w:r>
          </w:p>
        </w:tc>
      </w:tr>
    </w:tbl>
    <w:p>
      <w:pPr>
        <w:pStyle w:val="TextBody"/>
        <w:bidi w:val="0"/>
        <w:spacing w:before="0" w:after="0"/>
        <w:jc w:val="left"/>
        <w:rPr/>
      </w:pPr>
      <w:r>
        <w:rPr>
          <w:color w:val="000000"/>
        </w:rPr>
        <w:t> </w:t>
      </w:r>
      <w:r>
        <w:rPr/>
        <w:t xml:space="preserve"> </w:t>
      </w:r>
    </w:p>
    <w:p>
      <w:pPr>
        <w:pStyle w:val="TextBody"/>
        <w:bidi w:val="0"/>
        <w:spacing w:before="60" w:after="60"/>
        <w:jc w:val="left"/>
        <w:rPr/>
      </w:pPr>
      <w:r>
        <w:rPr>
          <w:b/>
          <w:color w:val="000000"/>
          <w:sz w:val="20"/>
        </w:rPr>
        <w:t>EXECUTIVE OFFICERS OF RENESAS ELECTRONICS AMERICA INC.</w:t>
      </w:r>
      <w:r>
        <w:rPr/>
        <w:t xml:space="preserve"> </w:t>
      </w:r>
    </w:p>
    <w:p>
      <w:pPr>
        <w:pStyle w:val="TextBody"/>
        <w:bidi w:val="0"/>
        <w:spacing w:before="60" w:after="6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1400"/>
        <w:gridCol w:w="202"/>
        <w:gridCol w:w="7246"/>
        <w:gridCol w:w="202"/>
        <w:gridCol w:w="1155"/>
      </w:tblGrid>
      <w:tr>
        <w:trPr/>
        <w:tc>
          <w:tcPr>
            <w:tcW w:w="1400" w:type="dxa"/>
            <w:tcBorders>
              <w:bottom w:val="single" w:sz="12" w:space="0" w:color="000000"/>
            </w:tcBorders>
            <w:vAlign w:val="center"/>
          </w:tcPr>
          <w:p>
            <w:pPr>
              <w:pStyle w:val="TableContents"/>
              <w:bidi w:val="0"/>
              <w:spacing w:before="0" w:after="0"/>
              <w:jc w:val="center"/>
              <w:rPr/>
            </w:pPr>
            <w:r>
              <w:rPr>
                <w:b/>
                <w:color w:val="000000"/>
                <w:sz w:val="20"/>
              </w:rPr>
              <w:t>Name</w:t>
            </w:r>
            <w:r>
              <w:rPr/>
              <w:t xml:space="preserve"> </w:t>
            </w:r>
          </w:p>
        </w:tc>
        <w:tc>
          <w:tcPr>
            <w:tcW w:w="202"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7246" w:type="dxa"/>
            <w:tcBorders>
              <w:bottom w:val="single" w:sz="12" w:space="0" w:color="000000"/>
            </w:tcBorders>
            <w:vAlign w:val="center"/>
          </w:tcPr>
          <w:p>
            <w:pPr>
              <w:pStyle w:val="TableContents"/>
              <w:bidi w:val="0"/>
              <w:spacing w:before="0" w:after="0"/>
              <w:jc w:val="center"/>
              <w:rPr/>
            </w:pPr>
            <w:r>
              <w:rPr>
                <w:b/>
                <w:color w:val="000000"/>
                <w:sz w:val="20"/>
              </w:rPr>
              <w:t>Present Occupation</w:t>
            </w:r>
            <w:r>
              <w:rPr/>
              <w:t xml:space="preserve"> </w:t>
            </w:r>
          </w:p>
        </w:tc>
        <w:tc>
          <w:tcPr>
            <w:tcW w:w="202"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155" w:type="dxa"/>
            <w:tcBorders>
              <w:bottom w:val="single" w:sz="12" w:space="0" w:color="000000"/>
            </w:tcBorders>
            <w:vAlign w:val="center"/>
          </w:tcPr>
          <w:p>
            <w:pPr>
              <w:pStyle w:val="TableContents"/>
              <w:bidi w:val="0"/>
              <w:spacing w:before="0" w:after="0"/>
              <w:jc w:val="center"/>
              <w:rPr/>
            </w:pPr>
            <w:r>
              <w:rPr>
                <w:b/>
                <w:color w:val="000000"/>
                <w:sz w:val="20"/>
              </w:rPr>
              <w:t>Citizenship</w:t>
            </w:r>
            <w:r>
              <w:rPr/>
              <w:t xml:space="preserve"> </w:t>
            </w:r>
          </w:p>
        </w:tc>
      </w:tr>
      <w:tr>
        <w:trPr/>
        <w:tc>
          <w:tcPr>
            <w:tcW w:w="1400" w:type="dxa"/>
            <w:tcBorders/>
            <w:tcMar>
              <w:top w:w="28" w:type="dxa"/>
              <w:left w:w="28" w:type="dxa"/>
              <w:right w:w="28" w:type="dxa"/>
            </w:tcMar>
            <w:vAlign w:val="center"/>
          </w:tcPr>
          <w:p>
            <w:pPr>
              <w:pStyle w:val="TableContents"/>
              <w:bidi w:val="0"/>
              <w:spacing w:before="0" w:after="0"/>
              <w:jc w:val="left"/>
              <w:rPr/>
            </w:pPr>
            <w:r>
              <w:rPr/>
              <w:t xml:space="preserve">  </w:t>
            </w:r>
          </w:p>
        </w:tc>
        <w:tc>
          <w:tcPr>
            <w:tcW w:w="7448" w:type="dxa"/>
            <w:gridSpan w:val="2"/>
            <w:tcBorders/>
            <w:tcMar>
              <w:top w:w="28" w:type="dxa"/>
              <w:left w:w="28" w:type="dxa"/>
              <w:right w:w="28" w:type="dxa"/>
            </w:tcMar>
            <w:vAlign w:val="center"/>
          </w:tcPr>
          <w:p>
            <w:pPr>
              <w:pStyle w:val="TableContents"/>
              <w:bidi w:val="0"/>
              <w:spacing w:before="0" w:after="0"/>
              <w:jc w:val="left"/>
              <w:rPr/>
            </w:pPr>
            <w:r>
              <w:rPr/>
              <w:t xml:space="preserve">  </w:t>
            </w:r>
          </w:p>
        </w:tc>
        <w:tc>
          <w:tcPr>
            <w:tcW w:w="1357" w:type="dxa"/>
            <w:gridSpan w:val="2"/>
            <w:tcBorders/>
            <w:tcMar>
              <w:top w:w="28" w:type="dxa"/>
              <w:left w:w="28" w:type="dxa"/>
              <w:right w:w="28" w:type="dxa"/>
            </w:tcMar>
            <w:vAlign w:val="center"/>
          </w:tcPr>
          <w:p>
            <w:pPr>
              <w:pStyle w:val="TableContents"/>
              <w:bidi w:val="0"/>
              <w:spacing w:before="0" w:after="0"/>
              <w:jc w:val="left"/>
              <w:rPr/>
            </w:pPr>
            <w:r>
              <w:rPr/>
              <w:t xml:space="preserve">  </w:t>
            </w:r>
          </w:p>
        </w:tc>
      </w:tr>
      <w:tr>
        <w:trPr/>
        <w:tc>
          <w:tcPr>
            <w:tcW w:w="1400"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Utae Nakanishi</w:t>
            </w:r>
            <w:r>
              <w:rPr/>
              <w:t xml:space="preserve"> </w:t>
            </w:r>
          </w:p>
        </w:tc>
        <w:tc>
          <w:tcPr>
            <w:tcW w:w="202"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7246" w:type="dxa"/>
            <w:tcBorders/>
            <w:shd w:fill="CCEEFF" w:val="clear"/>
            <w:tcMar>
              <w:top w:w="28" w:type="dxa"/>
              <w:left w:w="28" w:type="dxa"/>
              <w:right w:w="28" w:type="dxa"/>
            </w:tcMar>
            <w:vAlign w:val="center"/>
          </w:tcPr>
          <w:p>
            <w:pPr>
              <w:pStyle w:val="TableContents"/>
              <w:bidi w:val="0"/>
              <w:spacing w:before="0" w:after="0"/>
              <w:jc w:val="left"/>
              <w:rPr/>
            </w:pPr>
            <w:r>
              <w:rPr>
                <w:sz w:val="20"/>
              </w:rPr>
              <w:t xml:space="preserve">Senior Vice President and </w:t>
            </w:r>
            <w:r>
              <w:rPr>
                <w:color w:val="000000"/>
                <w:sz w:val="20"/>
              </w:rPr>
              <w:t>Chief Human Resources Officer, Renesas Electronics Corporation</w:t>
            </w:r>
            <w:r>
              <w:rPr/>
              <w:t xml:space="preserve"> </w:t>
            </w:r>
          </w:p>
          <w:p>
            <w:pPr>
              <w:pStyle w:val="TableContents"/>
              <w:bidi w:val="0"/>
              <w:spacing w:before="0" w:after="0"/>
              <w:jc w:val="left"/>
              <w:rPr/>
            </w:pPr>
            <w:r>
              <w:rPr>
                <w:color w:val="000000"/>
                <w:sz w:val="20"/>
              </w:rPr>
              <w:t>President and Director, Renesas Electronics America Inc.</w:t>
            </w:r>
            <w:r>
              <w:rPr/>
              <w:t xml:space="preserve"> </w:t>
            </w:r>
          </w:p>
        </w:tc>
        <w:tc>
          <w:tcPr>
            <w:tcW w:w="202"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1155"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Japan</w:t>
            </w:r>
            <w:r>
              <w:rPr/>
              <w:t xml:space="preserve"> </w:t>
            </w:r>
          </w:p>
        </w:tc>
      </w:tr>
      <w:tr>
        <w:trPr/>
        <w:tc>
          <w:tcPr>
            <w:tcW w:w="1400" w:type="dxa"/>
            <w:tcBorders/>
            <w:tcMar>
              <w:top w:w="28" w:type="dxa"/>
              <w:left w:w="28" w:type="dxa"/>
              <w:right w:w="28" w:type="dxa"/>
            </w:tcMar>
            <w:vAlign w:val="center"/>
          </w:tcPr>
          <w:p>
            <w:pPr>
              <w:pStyle w:val="TableContents"/>
              <w:bidi w:val="0"/>
              <w:spacing w:before="0" w:after="0"/>
              <w:jc w:val="left"/>
              <w:rPr/>
            </w:pPr>
            <w:r>
              <w:rPr/>
              <w:t xml:space="preserve">  </w:t>
            </w:r>
          </w:p>
        </w:tc>
        <w:tc>
          <w:tcPr>
            <w:tcW w:w="202" w:type="dxa"/>
            <w:tcBorders/>
            <w:tcMar>
              <w:top w:w="28" w:type="dxa"/>
              <w:left w:w="28" w:type="dxa"/>
              <w:right w:w="28" w:type="dxa"/>
            </w:tcMar>
            <w:vAlign w:val="center"/>
          </w:tcPr>
          <w:p>
            <w:pPr>
              <w:pStyle w:val="TableContents"/>
              <w:bidi w:val="0"/>
              <w:spacing w:before="0" w:after="0"/>
              <w:jc w:val="left"/>
              <w:rPr/>
            </w:pPr>
            <w:r>
              <w:rPr/>
              <w:t xml:space="preserve">  </w:t>
            </w:r>
          </w:p>
        </w:tc>
        <w:tc>
          <w:tcPr>
            <w:tcW w:w="7246" w:type="dxa"/>
            <w:tcBorders/>
            <w:tcMar>
              <w:top w:w="28" w:type="dxa"/>
              <w:left w:w="28" w:type="dxa"/>
              <w:right w:w="28" w:type="dxa"/>
            </w:tcMar>
            <w:vAlign w:val="center"/>
          </w:tcPr>
          <w:p>
            <w:pPr>
              <w:pStyle w:val="TableContents"/>
              <w:bidi w:val="0"/>
              <w:spacing w:before="0" w:after="0"/>
              <w:jc w:val="left"/>
              <w:rPr/>
            </w:pPr>
            <w:r>
              <w:rPr/>
              <w:t xml:space="preserve">  </w:t>
            </w:r>
          </w:p>
        </w:tc>
        <w:tc>
          <w:tcPr>
            <w:tcW w:w="202" w:type="dxa"/>
            <w:tcBorders/>
            <w:tcMar>
              <w:top w:w="28" w:type="dxa"/>
              <w:left w:w="28" w:type="dxa"/>
              <w:right w:w="28" w:type="dxa"/>
            </w:tcMar>
            <w:vAlign w:val="center"/>
          </w:tcPr>
          <w:p>
            <w:pPr>
              <w:pStyle w:val="TableContents"/>
              <w:bidi w:val="0"/>
              <w:spacing w:before="0" w:after="0"/>
              <w:jc w:val="left"/>
              <w:rPr/>
            </w:pPr>
            <w:r>
              <w:rPr/>
              <w:t xml:space="preserve">  </w:t>
            </w:r>
          </w:p>
        </w:tc>
        <w:tc>
          <w:tcPr>
            <w:tcW w:w="1155" w:type="dxa"/>
            <w:tcBorders/>
            <w:tcMar>
              <w:top w:w="28" w:type="dxa"/>
              <w:left w:w="28" w:type="dxa"/>
              <w:right w:w="28" w:type="dxa"/>
            </w:tcMar>
            <w:vAlign w:val="center"/>
          </w:tcPr>
          <w:p>
            <w:pPr>
              <w:pStyle w:val="TableContents"/>
              <w:bidi w:val="0"/>
              <w:spacing w:before="0" w:after="0"/>
              <w:jc w:val="center"/>
              <w:rPr/>
            </w:pPr>
            <w:r>
              <w:rPr/>
              <w:t xml:space="preserve">  </w:t>
            </w:r>
          </w:p>
        </w:tc>
      </w:tr>
    </w:tbl>
    <w:p>
      <w:pPr>
        <w:pStyle w:val="TextBody"/>
        <w:bidi w:val="0"/>
        <w:spacing w:before="0" w:after="24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2862</Words>
  <Characters>15938</Characters>
  <CharactersWithSpaces>19082</CharactersWithSpaces>
  <Paragraphs>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